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41" w:type="dxa"/>
        <w:tblInd w:w="-1139" w:type="dxa"/>
        <w:tblLook w:val="04A0"/>
      </w:tblPr>
      <w:tblGrid>
        <w:gridCol w:w="11312"/>
      </w:tblGrid>
      <w:tr w:rsidR="006E53B0" w:rsidTr="000B5EDF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0" w:rsidRDefault="006E53B0" w:rsidP="000B5ED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/>
            </w:tblPr>
            <w:tblGrid>
              <w:gridCol w:w="4859"/>
              <w:gridCol w:w="6227"/>
            </w:tblGrid>
            <w:tr w:rsidR="006E53B0" w:rsidTr="000B5EDF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53B0" w:rsidRDefault="006E53B0" w:rsidP="000B5EDF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200400" cy="200025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3B0" w:rsidRPr="006355F5" w:rsidRDefault="006E53B0" w:rsidP="000B5ED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6E53B0" w:rsidRDefault="006E53B0" w:rsidP="000B5E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6E53B0" w:rsidRDefault="006E53B0" w:rsidP="000B5EDF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6E53B0" w:rsidRDefault="006E53B0" w:rsidP="000B5EDF">
                  <w:pPr>
                    <w:pStyle w:val="ConsPlusTitle"/>
                    <w:rPr>
                      <w:lang w:eastAsia="en-US"/>
                    </w:rPr>
                  </w:pPr>
                </w:p>
                <w:p w:rsidR="006E53B0" w:rsidRDefault="006E53B0" w:rsidP="000B5ED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№31.</w:t>
                  </w:r>
                </w:p>
                <w:p w:rsidR="006E53B0" w:rsidRDefault="006E53B0" w:rsidP="000B5EDF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ЭЛЕКТРОННЫЕ ТРУДОВЫЕ КНИЖКИ: ИНСТРУКЦИЯ ПО ПРИМЕНЕНИЮ</w:t>
                  </w:r>
                </w:p>
                <w:p w:rsidR="006E53B0" w:rsidRDefault="006E53B0" w:rsidP="000B5EDF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E53B0" w:rsidRDefault="006E53B0" w:rsidP="000B5ED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53B0" w:rsidTr="000B5EDF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0" w:rsidRDefault="006E53B0" w:rsidP="006E53B0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С 1 января появился цифровой формат трудовых книжек. Перевести сотрудника на электронную книжку можно только с его согласия. Тем, кто впервые устраивается на работу после 31 декабря 2020 года, бумажный документ заводить не придется. Подробности читайте в обзоре.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  <w:r>
              <w:rPr>
                <w:rFonts w:ascii="Arial" w:hAnsi="Arial" w:cs="Arial"/>
                <w:b/>
                <w:bCs/>
              </w:rPr>
              <w:t>Какие сведения передавать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Работодатели должны сообщать в Пенсионный фонд данные о трудовой деятельности работников. ПФР будет хранить почти всю информацию, которую вносят в трудовую книжку. Исключение - записи о поощрениях и образовании.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Направлять данные в Фонд нужно </w:t>
            </w:r>
            <w:hyperlink r:id="rId5" w:history="1">
              <w:r>
                <w:rPr>
                  <w:rStyle w:val="a4"/>
                </w:rPr>
                <w:t>в случае</w:t>
              </w:r>
            </w:hyperlink>
            <w:r>
              <w:t>: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- приема сотрудника; постоянного перевода;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>
              <w:t>увольнения;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>
              <w:t>написания им заявления о выборе формата трудовой книжки.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Подавать сведения также </w:t>
            </w:r>
            <w:hyperlink r:id="rId6" w:history="1">
              <w:r>
                <w:rPr>
                  <w:rStyle w:val="a4"/>
                </w:rPr>
                <w:t>следует</w:t>
              </w:r>
            </w:hyperlink>
            <w:r>
              <w:t xml:space="preserve"> при других кадровых изменениях, например, при получении работником новой квалификации.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  <w:r>
              <w:rPr>
                <w:rFonts w:ascii="Arial" w:hAnsi="Arial" w:cs="Arial"/>
                <w:b/>
                <w:bCs/>
              </w:rPr>
              <w:t>Когда передавать сведения</w:t>
            </w:r>
          </w:p>
          <w:p w:rsidR="006E53B0" w:rsidRDefault="00D50187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hyperlink r:id="rId7" w:history="1">
              <w:r w:rsidR="006E53B0">
                <w:rPr>
                  <w:rStyle w:val="a4"/>
                  <w:b/>
                  <w:bCs/>
                </w:rPr>
                <w:t>С 1 января</w:t>
              </w:r>
            </w:hyperlink>
            <w:r w:rsidR="006E53B0">
              <w:t xml:space="preserve"> направлять информацию нужно не позднее 15 числа месяца, следующего за отчетным.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При подаче сведений в первый раз их следует дополнить данными о трудовой деятельности работника в организации на 1 января 2020 года.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Обратите внимание: если к 1 января 2021 года не появится повод подать сведения, нужно будет </w:t>
            </w:r>
            <w:hyperlink r:id="rId8" w:history="1">
              <w:r>
                <w:rPr>
                  <w:rStyle w:val="a4"/>
                  <w:b/>
                  <w:bCs/>
                </w:rPr>
                <w:t>не позднее 15 февраля 2021 года</w:t>
              </w:r>
            </w:hyperlink>
            <w:r>
              <w:t xml:space="preserve"> сообщить в ПФР о деятельности работника в организации. То есть к этому моменту у фонда должны быть сведения обо всех сотрудниках. За год может быть мало случаев их "передвижения", поэтому, возможно, вам придется сообщать о большом количестве работников в феврале. Чтобы избежать нагрузки в начале 2021 года, лучше передать все сведения в течение 2020 года.</w:t>
            </w:r>
          </w:p>
          <w:p w:rsidR="006E53B0" w:rsidRDefault="00D50187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hyperlink r:id="rId9" w:history="1">
              <w:r w:rsidR="006E53B0">
                <w:rPr>
                  <w:rStyle w:val="a4"/>
                  <w:b/>
                  <w:bCs/>
                </w:rPr>
                <w:t>С 28 апреля</w:t>
              </w:r>
            </w:hyperlink>
            <w:r w:rsidR="006E53B0">
              <w:t xml:space="preserve"> уведомлять о приеме и увольнении работника нужно не позднее следующего рабочего дня после издания приказа.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  <w:r>
              <w:rPr>
                <w:rFonts w:ascii="Arial" w:hAnsi="Arial" w:cs="Arial"/>
                <w:b/>
                <w:bCs/>
              </w:rPr>
              <w:t>Как сообщать информацию</w:t>
            </w:r>
          </w:p>
          <w:p w:rsidR="006E53B0" w:rsidRPr="006E53B0" w:rsidRDefault="006E53B0" w:rsidP="006E53B0">
            <w:pPr>
              <w:ind w:firstLine="540"/>
              <w:jc w:val="both"/>
            </w:pPr>
            <w:r>
              <w:t xml:space="preserve">Сведения нужно подавать по форме </w:t>
            </w:r>
            <w:hyperlink r:id="rId10" w:history="1">
              <w:r>
                <w:rPr>
                  <w:rStyle w:val="a4"/>
                </w:rPr>
                <w:t>СЗВ-ТД</w:t>
              </w:r>
            </w:hyperlink>
            <w:r>
              <w:t xml:space="preserve">. </w:t>
            </w:r>
            <w:hyperlink r:id="rId11" w:history="1">
              <w:r>
                <w:rPr>
                  <w:rStyle w:val="a4"/>
                </w:rPr>
                <w:t>Формировать</w:t>
              </w:r>
            </w:hyperlink>
            <w:r>
              <w:t xml:space="preserve"> данные о сотрудниках работодатели могут одним из способов:1) с помощью своих программно-технических средств;2) с использованием электронного сервиса Пенсионного фонда.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Направлять сведения нужно аналогично другой отчетности в ПФР. Так, </w:t>
            </w:r>
            <w:hyperlink r:id="rId12" w:history="1">
              <w:r>
                <w:rPr>
                  <w:rStyle w:val="a4"/>
                </w:rPr>
                <w:t>представлять их</w:t>
              </w:r>
            </w:hyperlink>
            <w:r>
              <w:t xml:space="preserve"> требуется в форме </w:t>
            </w:r>
            <w:r>
              <w:lastRenderedPageBreak/>
              <w:t>электронного документа с усиленной квалифицированной электронной подписью. Работодатели, у которых за прошедший месяц числилось меньше 25 сотрудников, могут передавать информацию на бумаге.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  <w:r>
              <w:rPr>
                <w:rFonts w:ascii="Arial" w:hAnsi="Arial" w:cs="Arial"/>
                <w:b/>
                <w:bCs/>
              </w:rPr>
              <w:t>Как взаимодействовать с работниками</w:t>
            </w:r>
            <w:r>
              <w:t> 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b/>
                <w:bCs/>
              </w:rPr>
              <w:t>Не позднее 31 октября 2020 года</w:t>
            </w:r>
            <w:r>
              <w:t xml:space="preserve"> </w:t>
            </w:r>
            <w:hyperlink r:id="rId13" w:history="1">
              <w:r>
                <w:rPr>
                  <w:rStyle w:val="a4"/>
                </w:rPr>
                <w:t>нужно уведомить</w:t>
              </w:r>
            </w:hyperlink>
            <w:r>
              <w:t xml:space="preserve"> каждого сотрудника о возможности сделать выбор: использовать оба вида книжек или только электронный формат.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</w:rPr>
              <w:t>Работник выбрал электронную трудовую книжку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Когда сотрудник подаст заявление о том, что выбирает электронный вариант сведений, ему </w:t>
            </w:r>
            <w:hyperlink r:id="rId14" w:history="1">
              <w:r>
                <w:rPr>
                  <w:rStyle w:val="a4"/>
                </w:rPr>
                <w:t>нужно будет выдать</w:t>
              </w:r>
            </w:hyperlink>
            <w:r>
              <w:t xml:space="preserve"> трудовую книжку на руки.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С этого момента работодатель не будет отвечать за ее ведение и хранение. </w:t>
            </w:r>
            <w:hyperlink r:id="rId15" w:history="1">
              <w:r>
                <w:rPr>
                  <w:rStyle w:val="a4"/>
                </w:rPr>
                <w:t>Не придется делать выписку</w:t>
              </w:r>
            </w:hyperlink>
            <w:r>
              <w:t xml:space="preserve"> из трудовой книжки по просьбе работника.</w:t>
            </w:r>
          </w:p>
          <w:p w:rsidR="006E53B0" w:rsidRDefault="006E53B0" w:rsidP="006E53B0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Сотрудникам, выбравшим цифровой формат, </w:t>
            </w:r>
            <w:hyperlink r:id="rId16" w:history="1">
              <w:r>
                <w:rPr>
                  <w:rStyle w:val="a4"/>
                </w:rPr>
                <w:t>нужно будет предоставлять</w:t>
              </w:r>
            </w:hyperlink>
            <w:r>
              <w:t xml:space="preserve"> сведения о трудовой деятельности в организации на бумажном носителе или в электронном виде:</w:t>
            </w:r>
            <w:r>
              <w:rPr>
                <w:rFonts w:ascii="Verdana" w:hAnsi="Verdana"/>
                <w:sz w:val="21"/>
                <w:szCs w:val="21"/>
              </w:rPr>
              <w:t xml:space="preserve"> 1)</w:t>
            </w:r>
            <w:r>
              <w:t xml:space="preserve"> в период работы - не позднее трех рабочих дней со дня обращения работника;</w:t>
            </w:r>
            <w:r>
              <w:rPr>
                <w:rFonts w:ascii="Verdana" w:hAnsi="Verdana"/>
                <w:sz w:val="21"/>
                <w:szCs w:val="21"/>
              </w:rPr>
              <w:t xml:space="preserve">2) </w:t>
            </w:r>
            <w:r>
              <w:t>в день увольнения.</w:t>
            </w:r>
            <w:r>
              <w:rPr>
                <w:rFonts w:ascii="Verdana" w:hAnsi="Verdana"/>
                <w:sz w:val="21"/>
                <w:szCs w:val="21"/>
              </w:rPr>
              <w:t xml:space="preserve">    </w:t>
            </w:r>
            <w:r>
              <w:t xml:space="preserve">Выдавать данные нужно по форме </w:t>
            </w:r>
            <w:hyperlink r:id="rId17" w:history="1">
              <w:r>
                <w:rPr>
                  <w:rStyle w:val="a4"/>
                </w:rPr>
                <w:t>СТД-Р</w:t>
              </w:r>
            </w:hyperlink>
            <w:r>
              <w:t xml:space="preserve">. 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Если работодатель не предоставит сотруднику сведения вовремя, он </w:t>
            </w:r>
            <w:hyperlink r:id="rId18" w:history="1">
              <w:r>
                <w:rPr>
                  <w:rStyle w:val="a4"/>
                </w:rPr>
                <w:t>будет нести такую же ответственность</w:t>
              </w:r>
            </w:hyperlink>
            <w:r>
              <w:t>, как за задержку выдачи трудовой книжки.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  <w:r>
              <w:rPr>
                <w:rFonts w:ascii="Arial" w:hAnsi="Arial" w:cs="Arial"/>
                <w:b/>
                <w:bCs/>
              </w:rPr>
              <w:t>Работник выбрал бумажную книжку или промолчал</w:t>
            </w:r>
          </w:p>
          <w:p w:rsidR="006E53B0" w:rsidRDefault="006E53B0" w:rsidP="006E53B0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Сотрудники решают вопрос о формате данных </w:t>
            </w:r>
            <w:hyperlink r:id="rId19" w:history="1">
              <w:r>
                <w:rPr>
                  <w:rStyle w:val="a4"/>
                </w:rPr>
                <w:t>в течение 2020 года</w:t>
              </w:r>
            </w:hyperlink>
            <w:r>
              <w:t>. Если работник попросит сохранить бумажный вариант или не сообщит о выборе, придется делать двойную работу: вести трудовую книжку и передавать сведения в ПФР.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t>Право на оба формата сохранится за работником, пока он не сделает выбор в пользу электронного варианта.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Обратите внимание: при приеме сотрудники </w:t>
            </w:r>
            <w:hyperlink r:id="rId20" w:history="1">
              <w:r>
                <w:rPr>
                  <w:rStyle w:val="a4"/>
                </w:rPr>
                <w:t>могут предъявлять</w:t>
              </w:r>
            </w:hyperlink>
            <w:r>
              <w:t xml:space="preserve"> сведения о трудовой деятельности. Нужно проверять, есть ли в документе отметка о том, что работник отказался от бумажной книжки. Если есть, достаточно будет подавать в ПФР сведения. Отметки нет - попросите работника предоставить книжку. Если он потерял ее или не может передать по другой причине, придется завести новую.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  <w:r>
              <w:rPr>
                <w:rFonts w:ascii="Arial" w:hAnsi="Arial" w:cs="Arial"/>
                <w:b/>
                <w:bCs/>
              </w:rPr>
              <w:t>Какая ответственность предусмотрена за неподачу СЗВ-ТД</w:t>
            </w:r>
          </w:p>
          <w:p w:rsidR="006E53B0" w:rsidRDefault="006E53B0" w:rsidP="000B5EDF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t xml:space="preserve"> Если опоздать с отчетом или предоставить неполные или недостоверные сведения о трудовой деятельности сотрудника, то </w:t>
            </w:r>
            <w:hyperlink r:id="rId21" w:history="1">
              <w:r>
                <w:rPr>
                  <w:rStyle w:val="a4"/>
                </w:rPr>
                <w:t>может ждать</w:t>
              </w:r>
            </w:hyperlink>
            <w:r>
              <w:t xml:space="preserve"> предупреждение или штраф по </w:t>
            </w:r>
            <w:hyperlink r:id="rId22" w:history="1">
              <w:r>
                <w:rPr>
                  <w:rStyle w:val="a4"/>
                </w:rPr>
                <w:t>общей норме</w:t>
              </w:r>
            </w:hyperlink>
            <w:r>
              <w:t>. Для должностных лиц размер штрафа составляет от 1 тыс. до 5 тыс. руб., для организаций - от 30 тыс. до 50 тыс. руб.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С 1 января 2021 года ответственность за такое нарушение </w:t>
            </w:r>
            <w:hyperlink r:id="rId23" w:history="1">
              <w:r>
                <w:rPr>
                  <w:rStyle w:val="a4"/>
                </w:rPr>
                <w:t>станут нести</w:t>
              </w:r>
            </w:hyperlink>
            <w:r>
              <w:t xml:space="preserve"> только должностные лица. Им будет грозить предупреждение либо штраф от 300 до 500 руб.</w:t>
            </w:r>
          </w:p>
          <w:p w:rsidR="006E53B0" w:rsidRDefault="006E53B0" w:rsidP="000B5EDF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6E53B0" w:rsidTr="000B5EDF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0" w:rsidRDefault="006E53B0" w:rsidP="000B5E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Калужская областная организация Профсоюза работников народного образования и науки РФ</w:t>
            </w:r>
          </w:p>
          <w:p w:rsidR="006E53B0" w:rsidRDefault="006E53B0" w:rsidP="000B5E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Тел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.ф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акс: 57-64-69,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6E53B0" w:rsidRDefault="006E53B0" w:rsidP="000B5E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август, 2020</w:t>
            </w:r>
          </w:p>
          <w:p w:rsidR="006E53B0" w:rsidRDefault="006E53B0" w:rsidP="000B5E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E53B0" w:rsidRDefault="006E53B0" w:rsidP="006E53B0"/>
    <w:sectPr w:rsidR="006E53B0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3B0"/>
    <w:rsid w:val="005174A2"/>
    <w:rsid w:val="006E53B0"/>
    <w:rsid w:val="008834D9"/>
    <w:rsid w:val="00D5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5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E5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53B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856C88A49AB6C70D9C92F79C61D20833&amp;req=doc&amp;base=RZR&amp;n=340238&amp;dst=100046&amp;fld=134&amp;REFFIELD=134&amp;REFDST=100050&amp;REFDOC=310064&amp;REFBASE=RZR&amp;stat=refcode%3D10881%3Bdstident%3D100046%3Bindex%3D24&amp;date=28.08.2020" TargetMode="External"/><Relationship Id="rId13" Type="http://schemas.openxmlformats.org/officeDocument/2006/relationships/hyperlink" Target="https://login.consultant.ru/link/?rnd=856C88A49AB6C70D9C92F79C61D20833&amp;req=doc&amp;base=RZR&amp;n=355612&amp;dst=100006&amp;fld=134&amp;REFFIELD=134&amp;REFDST=100059&amp;REFDOC=310064&amp;REFBASE=RZR&amp;stat=refcode%3D10881%3Bdstident%3D100006%3Bindex%3D36&amp;date=28.08.2020" TargetMode="External"/><Relationship Id="rId18" Type="http://schemas.openxmlformats.org/officeDocument/2006/relationships/hyperlink" Target="https://login.consultant.ru/link/?rnd=856C88A49AB6C70D9C92F79C61D20833&amp;req=doc&amp;base=RZR&amp;n=340241&amp;dst=100043&amp;fld=134&amp;REFFIELD=134&amp;REFDST=100067&amp;REFDOC=310064&amp;REFBASE=RZR&amp;stat=refcode%3D10881%3Bdstident%3D100043%3Bindex%3D45&amp;date=28.08.20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nd=856C88A49AB6C70D9C92F79C61D20833&amp;req=doc&amp;base=RZR&amp;n=351235&amp;dst=279&amp;fld=134&amp;REFFIELD=134&amp;REFDST=100077&amp;REFDOC=310064&amp;REFBASE=RZR&amp;stat=refcode%3D10881%3Bdstident%3D279%3Bindex%3D55&amp;date=28.08.2020" TargetMode="External"/><Relationship Id="rId7" Type="http://schemas.openxmlformats.org/officeDocument/2006/relationships/hyperlink" Target="https://login.consultant.ru/link/?rnd=856C88A49AB6C70D9C92F79C61D20833&amp;req=doc&amp;base=RZR&amp;n=340238&amp;dst=100045&amp;fld=134&amp;REFFIELD=134&amp;REFDST=100048&amp;REFDOC=310064&amp;REFBASE=RZR&amp;stat=refcode%3D10881%3Bdstident%3D100045%3Bindex%3D22&amp;date=28.08.2020" TargetMode="External"/><Relationship Id="rId12" Type="http://schemas.openxmlformats.org/officeDocument/2006/relationships/hyperlink" Target="https://login.consultant.ru/link/?rnd=856C88A49AB6C70D9C92F79C61D20833&amp;req=doc&amp;base=RZR&amp;n=340238&amp;dst=100050&amp;fld=134&amp;REFFIELD=134&amp;REFDST=100057&amp;REFDOC=310064&amp;REFBASE=RZR&amp;stat=refcode%3D10881%3Bdstident%3D100050%3Bindex%3D32&amp;date=28.08.2020" TargetMode="External"/><Relationship Id="rId17" Type="http://schemas.openxmlformats.org/officeDocument/2006/relationships/hyperlink" Target="https://login.consultant.ru/link/?rnd=856C88A49AB6C70D9C92F79C61D20833&amp;req=doc&amp;base=RZR&amp;n=346144&amp;dst=100012&amp;fld=134&amp;REFFIELD=134&amp;REFDST=100066&amp;REFDOC=310064&amp;REFBASE=RZR&amp;stat=refcode%3D10881%3Bdstident%3D100012%3Bindex%3D44&amp;date=28.08.20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nd=856C88A49AB6C70D9C92F79C61D20833&amp;req=doc&amp;base=RZR&amp;n=340241&amp;dst=100031&amp;fld=134&amp;REFFIELD=134&amp;REFDST=100063&amp;REFDOC=310064&amp;REFBASE=RZR&amp;stat=refcode%3D10881%3Bdstident%3D100031%3Bindex%3D41&amp;date=28.08.2020" TargetMode="External"/><Relationship Id="rId20" Type="http://schemas.openxmlformats.org/officeDocument/2006/relationships/hyperlink" Target="https://login.consultant.ru/link/?rnd=856C88A49AB6C70D9C92F79C61D20833&amp;req=doc&amp;base=RZR&amp;n=340241&amp;dst=100017&amp;fld=134&amp;REFFIELD=134&amp;REFDST=100071&amp;REFDOC=310064&amp;REFBASE=RZR&amp;stat=refcode%3D10881%3Bdstident%3D100017%3Bindex%3D51&amp;date=28.08.2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856C88A49AB6C70D9C92F79C61D20833&amp;req=doc&amp;base=RZR&amp;n=343831&amp;dst=100074&amp;fld=134&amp;REFFIELD=134&amp;REFDST=100046&amp;REFDOC=310064&amp;REFBASE=RZR&amp;stat=refcode%3D10881%3Bdstident%3D100074%3Bindex%3D19&amp;date=28.08.2020" TargetMode="External"/><Relationship Id="rId11" Type="http://schemas.openxmlformats.org/officeDocument/2006/relationships/hyperlink" Target="https://login.consultant.ru/link/?rnd=856C88A49AB6C70D9C92F79C61D20833&amp;req=doc&amp;base=RZR&amp;n=340238&amp;dst=100051&amp;fld=134&amp;REFFIELD=134&amp;REFDST=100054&amp;REFDOC=310064&amp;REFBASE=RZR&amp;stat=refcode%3D10881%3Bdstident%3D100051%3Bindex%3D29&amp;date=28.08.20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nd=856C88A49AB6C70D9C92F79C61D20833&amp;req=doc&amp;base=RZR&amp;n=340238&amp;dst=100040&amp;fld=134&amp;REFFIELD=134&amp;REFDST=100041&amp;REFDOC=310064&amp;REFBASE=RZR&amp;stat=refcode%3D10881%3Bdstident%3D100040%3Bindex%3D14&amp;date=28.08.2020" TargetMode="External"/><Relationship Id="rId15" Type="http://schemas.openxmlformats.org/officeDocument/2006/relationships/hyperlink" Target="https://login.consultant.ru/link/?rnd=856C88A49AB6C70D9C92F79C61D20833&amp;req=doc&amp;base=RZR&amp;n=340241&amp;dst=100012&amp;fld=134&amp;REFFIELD=134&amp;REFDST=100062&amp;REFDOC=310064&amp;REFBASE=RZR&amp;stat=refcode%3D10881%3Bdstident%3D100012%3Bindex%3D40&amp;date=28.08.2020" TargetMode="External"/><Relationship Id="rId23" Type="http://schemas.openxmlformats.org/officeDocument/2006/relationships/hyperlink" Target="https://login.consultant.ru/link/?rnd=856C88A49AB6C70D9C92F79C61D20833&amp;req=doc&amp;base=RZR&amp;n=349068&amp;dst=100036&amp;fld=134&amp;REFFIELD=134&amp;REFDST=100078&amp;REFDOC=310064&amp;REFBASE=RZR&amp;stat=refcode%3D10881%3Bdstident%3D100036%3Bindex%3D56&amp;date=28.08.2020" TargetMode="External"/><Relationship Id="rId10" Type="http://schemas.openxmlformats.org/officeDocument/2006/relationships/hyperlink" Target="https://login.consultant.ru/link/?rnd=856C88A49AB6C70D9C92F79C61D20833&amp;req=doc&amp;base=RZR&amp;n=343831&amp;dst=100015&amp;fld=134&amp;REFFIELD=134&amp;REFDST=100053&amp;REFDOC=310064&amp;REFBASE=RZR&amp;stat=refcode%3D10881%3Bdstident%3D100015%3Bindex%3D28&amp;date=28.08.2020" TargetMode="External"/><Relationship Id="rId19" Type="http://schemas.openxmlformats.org/officeDocument/2006/relationships/hyperlink" Target="https://login.consultant.ru/link/?rnd=856C88A49AB6C70D9C92F79C61D20833&amp;req=doc&amp;base=RZR&amp;n=340241&amp;dst=100056&amp;fld=134&amp;REFFIELD=134&amp;REFDST=100069&amp;REFDOC=310064&amp;REFBASE=RZR&amp;stat=refcode%3D10881%3Bdstident%3D100056%3Bindex%3D49&amp;date=28.08.202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nd=856C88A49AB6C70D9C92F79C61D20833&amp;req=doc&amp;base=RZR&amp;n=351421&amp;dst=100008&amp;fld=134&amp;REFFIELD=134&amp;REFDST=100051&amp;REFDOC=310064&amp;REFBASE=RZR&amp;stat=refcode%3D10881%3Bdstident%3D100008%3Bindex%3D25&amp;date=28.08.2020" TargetMode="External"/><Relationship Id="rId14" Type="http://schemas.openxmlformats.org/officeDocument/2006/relationships/hyperlink" Target="https://login.consultant.ru/link/?rnd=856C88A49AB6C70D9C92F79C61D20833&amp;req=doc&amp;base=RZR&amp;n=340241&amp;dst=100057&amp;fld=134&amp;REFFIELD=134&amp;REFDST=100061&amp;REFDOC=310064&amp;REFBASE=RZR&amp;stat=refcode%3D10881%3Bdstident%3D100057%3Bindex%3D39&amp;date=28.08.2020" TargetMode="External"/><Relationship Id="rId22" Type="http://schemas.openxmlformats.org/officeDocument/2006/relationships/hyperlink" Target="https://login.consultant.ru/link/?rnd=856C88A49AB6C70D9C92F79C61D20833&amp;req=doc&amp;base=RZR&amp;n=355717&amp;dst=7444&amp;fld=134&amp;REFFIELD=134&amp;REFDST=100077&amp;REFDOC=310064&amp;REFBASE=RZR&amp;stat=refcode%3D10881%3Bdstident%3D7444%3Bindex%3D55&amp;date=28.08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2</cp:revision>
  <dcterms:created xsi:type="dcterms:W3CDTF">2020-08-28T09:25:00Z</dcterms:created>
  <dcterms:modified xsi:type="dcterms:W3CDTF">2020-08-28T12:23:00Z</dcterms:modified>
</cp:coreProperties>
</file>